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8C" w:rsidRPr="00200292" w:rsidRDefault="00893C62" w:rsidP="00D57A8C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D57A8C" w:rsidRPr="00200292">
        <w:rPr>
          <w:rFonts w:ascii="Arial Narrow" w:hAnsi="Arial Narrow"/>
          <w:b/>
          <w:sz w:val="28"/>
          <w:szCs w:val="28"/>
        </w:rPr>
        <w:t>PREFEITURA MUNICIPAL DE PAINS</w:t>
      </w:r>
    </w:p>
    <w:p w:rsidR="00D57A8C" w:rsidRPr="00200292" w:rsidRDefault="00D57A8C" w:rsidP="00D57A8C">
      <w:pPr>
        <w:jc w:val="center"/>
        <w:rPr>
          <w:rFonts w:ascii="Arial Narrow" w:hAnsi="Arial Narrow"/>
          <w:b/>
          <w:sz w:val="24"/>
          <w:szCs w:val="24"/>
        </w:rPr>
      </w:pPr>
    </w:p>
    <w:p w:rsidR="00D57A8C" w:rsidRPr="00200292" w:rsidRDefault="00D57A8C" w:rsidP="00D57A8C">
      <w:pPr>
        <w:jc w:val="center"/>
        <w:rPr>
          <w:rFonts w:ascii="Arial Narrow" w:hAnsi="Arial Narrow"/>
          <w:b/>
          <w:sz w:val="24"/>
          <w:szCs w:val="24"/>
        </w:rPr>
      </w:pPr>
      <w:r w:rsidRPr="00200292">
        <w:rPr>
          <w:rFonts w:ascii="Arial Narrow" w:hAnsi="Arial Narrow"/>
          <w:b/>
          <w:sz w:val="24"/>
          <w:szCs w:val="24"/>
        </w:rPr>
        <w:t>ANEXO I – DA PROPOSTA</w:t>
      </w:r>
    </w:p>
    <w:p w:rsidR="00D57A8C" w:rsidRPr="00200292" w:rsidRDefault="0086016B" w:rsidP="00D57A8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PAL Nº. </w:t>
      </w:r>
      <w:r w:rsidR="000A7C6C">
        <w:rPr>
          <w:rFonts w:ascii="Arial Narrow" w:hAnsi="Arial Narrow"/>
          <w:b/>
          <w:sz w:val="24"/>
          <w:szCs w:val="24"/>
        </w:rPr>
        <w:t>196</w:t>
      </w:r>
      <w:r w:rsidR="00787E43">
        <w:rPr>
          <w:rFonts w:ascii="Arial Narrow" w:hAnsi="Arial Narrow"/>
          <w:b/>
          <w:sz w:val="24"/>
          <w:szCs w:val="24"/>
        </w:rPr>
        <w:t>/2019</w:t>
      </w:r>
      <w:r>
        <w:rPr>
          <w:rFonts w:ascii="Arial Narrow" w:hAnsi="Arial Narrow"/>
          <w:b/>
          <w:sz w:val="24"/>
          <w:szCs w:val="24"/>
        </w:rPr>
        <w:t xml:space="preserve"> – Pregão Presencial Nº. </w:t>
      </w:r>
      <w:r w:rsidR="00787E43">
        <w:rPr>
          <w:rFonts w:ascii="Arial Narrow" w:hAnsi="Arial Narrow"/>
          <w:b/>
          <w:sz w:val="24"/>
          <w:szCs w:val="24"/>
        </w:rPr>
        <w:t>6</w:t>
      </w:r>
      <w:r w:rsidR="000A7C6C">
        <w:rPr>
          <w:rFonts w:ascii="Arial Narrow" w:hAnsi="Arial Narrow"/>
          <w:b/>
          <w:sz w:val="24"/>
          <w:szCs w:val="24"/>
        </w:rPr>
        <w:t>4</w:t>
      </w:r>
      <w:r w:rsidR="00787E43">
        <w:rPr>
          <w:rFonts w:ascii="Arial Narrow" w:hAnsi="Arial Narrow"/>
          <w:b/>
          <w:sz w:val="24"/>
          <w:szCs w:val="24"/>
        </w:rPr>
        <w:t>/2019</w:t>
      </w:r>
    </w:p>
    <w:p w:rsidR="00D57A8C" w:rsidRPr="00200292" w:rsidRDefault="00D57A8C" w:rsidP="00D57A8C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3708"/>
        <w:gridCol w:w="7560"/>
      </w:tblGrid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Empresa: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CNPJ: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Telefone: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Dados Bancários: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Nome do Representante Legal: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Identidade do Representante Legal: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  <w:tr w:rsidR="00D57A8C" w:rsidRPr="003E0926" w:rsidTr="003E0926">
        <w:tc>
          <w:tcPr>
            <w:tcW w:w="3708" w:type="dxa"/>
          </w:tcPr>
          <w:p w:rsidR="00D57A8C" w:rsidRPr="003E0926" w:rsidRDefault="00D57A8C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Data:</w:t>
            </w:r>
          </w:p>
        </w:tc>
        <w:tc>
          <w:tcPr>
            <w:tcW w:w="7560" w:type="dxa"/>
          </w:tcPr>
          <w:p w:rsidR="00D57A8C" w:rsidRPr="003E0926" w:rsidRDefault="00D57A8C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_____________________________________________</w:t>
            </w:r>
          </w:p>
        </w:tc>
      </w:tr>
    </w:tbl>
    <w:p w:rsidR="00D57A8C" w:rsidRPr="00200292" w:rsidRDefault="00D57A8C" w:rsidP="00D57A8C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9062BE" w:rsidRPr="000A7C6C" w:rsidRDefault="00106222" w:rsidP="000A7C6C">
      <w:pPr>
        <w:jc w:val="both"/>
        <w:rPr>
          <w:rFonts w:ascii="Arial Narrow" w:hAnsi="Arial Narrow" w:cs="Arial"/>
          <w:b/>
          <w:sz w:val="24"/>
          <w:szCs w:val="24"/>
        </w:rPr>
      </w:pPr>
      <w:r w:rsidRPr="00200292">
        <w:tab/>
      </w:r>
      <w:r w:rsidR="000A7C6C" w:rsidRPr="000A7C6C">
        <w:rPr>
          <w:sz w:val="24"/>
          <w:szCs w:val="24"/>
        </w:rPr>
        <w:t xml:space="preserve">Aquisição de um veículo do tipo caminhão para acoplar um compactador para coleta convencional de resíduos sólidos e de um coletor compactador de lixo, conforme convênio FUNASA 01728/2017, que entre si celebram a fundação nacional de saúde – FUNASA e o município de Pains – MG.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260"/>
        <w:gridCol w:w="1080"/>
        <w:gridCol w:w="5760"/>
        <w:gridCol w:w="1800"/>
        <w:gridCol w:w="1800"/>
        <w:gridCol w:w="1614"/>
      </w:tblGrid>
      <w:tr w:rsidR="0044334D" w:rsidRPr="003E0926" w:rsidTr="003E09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Valor Unit.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Valor Total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/>
                <w:bCs/>
                <w:sz w:val="24"/>
                <w:szCs w:val="24"/>
              </w:rPr>
              <w:t>Marca</w:t>
            </w:r>
          </w:p>
        </w:tc>
      </w:tr>
      <w:tr w:rsidR="00F208D8" w:rsidRPr="003E0926" w:rsidTr="003E09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3E0926">
            <w:pPr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AC464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3E0926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8D3698" w:rsidRDefault="00F208D8" w:rsidP="00F208D8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/>
                <w:bCs/>
                <w:sz w:val="24"/>
                <w:szCs w:val="24"/>
              </w:rPr>
              <w:t>Caminhão com as seguintes características:</w:t>
            </w:r>
          </w:p>
          <w:p w:rsidR="004C6BDB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4C6BDB">
              <w:rPr>
                <w:rFonts w:ascii="Arial Narrow" w:hAnsi="Arial Narrow" w:cs="Arial"/>
                <w:bCs/>
                <w:sz w:val="24"/>
                <w:szCs w:val="24"/>
              </w:rPr>
              <w:t>Ano: 2019/2020, 0 KM</w:t>
            </w:r>
          </w:p>
          <w:p w:rsidR="004C6BDB" w:rsidRDefault="004C6BDB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Caminhão 4x2</w:t>
            </w:r>
          </w:p>
          <w:p w:rsidR="00F208D8" w:rsidRPr="004C6BDB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4C6BDB">
              <w:rPr>
                <w:rFonts w:ascii="Arial Narrow" w:hAnsi="Arial Narrow" w:cs="Arial"/>
                <w:bCs/>
                <w:sz w:val="24"/>
                <w:szCs w:val="24"/>
              </w:rPr>
              <w:t>Direção hidráulica;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motor com 0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4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 cilindros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em linha;</w:t>
            </w:r>
          </w:p>
          <w:p w:rsidR="00F208D8" w:rsidRPr="00E53AC1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potência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mínima de 156 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 CV</w:t>
            </w:r>
            <w:r w:rsidRPr="00E53AC1">
              <w:rPr>
                <w:rFonts w:ascii="Arial Narrow" w:hAnsi="Arial Narrow" w:cs="Arial"/>
                <w:bCs/>
                <w:sz w:val="24"/>
                <w:szCs w:val="24"/>
              </w:rPr>
              <w:t>;</w:t>
            </w:r>
          </w:p>
          <w:p w:rsidR="00F208D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Reservatório de combustível (com tampa e chave): 150 litros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;</w:t>
            </w:r>
          </w:p>
          <w:p w:rsidR="004C6BDB" w:rsidRPr="008D3698" w:rsidRDefault="004C6BDB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PTB (legal): mínimo de 9.600 KG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lastRenderedPageBreak/>
              <w:t>Tanque de Arla: mínimo de 25 litros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cabina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standart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;</w:t>
            </w:r>
          </w:p>
          <w:p w:rsidR="00F208D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Freios ABS tipo tambor;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Freios auxiliar: convencional + Top Breake;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distância entre eixos mínima de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3.700</w:t>
            </w: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 xml:space="preserve"> mm;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cor branca.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garantia mínima de 12 meses, sem limite de horas trabalhadas;</w:t>
            </w:r>
          </w:p>
          <w:p w:rsidR="00F208D8" w:rsidRPr="008D3698" w:rsidRDefault="00F208D8" w:rsidP="00F208D8">
            <w:pPr>
              <w:numPr>
                <w:ilvl w:val="1"/>
                <w:numId w:val="20"/>
              </w:num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acompanhada de manual do operador e catálogo de peças;</w:t>
            </w:r>
          </w:p>
          <w:p w:rsidR="00F208D8" w:rsidRPr="003E0926" w:rsidRDefault="00F208D8" w:rsidP="00F208D8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D3698">
              <w:rPr>
                <w:rFonts w:ascii="Arial Narrow" w:hAnsi="Arial Narrow" w:cs="Arial"/>
                <w:bCs/>
                <w:sz w:val="24"/>
                <w:szCs w:val="24"/>
              </w:rPr>
              <w:t>assistência Técnica Autorizada com revendedor num raio máximo de 250 (duzentos e cinqüenta) quilômetros do Município de Pains – MG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D8" w:rsidRPr="003E0926" w:rsidRDefault="00F208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CD56D8" w:rsidRPr="003E0926" w:rsidTr="003E092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3E0926">
            <w:pPr>
              <w:numPr>
                <w:ilvl w:val="0"/>
                <w:numId w:val="20"/>
              </w:num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AC4642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Cs/>
                <w:sz w:val="24"/>
                <w:szCs w:val="24"/>
              </w:rPr>
              <w:t>0</w:t>
            </w:r>
            <w:r w:rsidR="00AC4642">
              <w:rPr>
                <w:rFonts w:ascii="Arial Narrow" w:hAnsi="Arial Narrow" w:cs="Arial"/>
                <w:bCs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3E0926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3E0926">
              <w:rPr>
                <w:rFonts w:ascii="Arial Narrow" w:hAnsi="Arial Narrow" w:cs="Arial"/>
                <w:bCs/>
                <w:sz w:val="24"/>
                <w:szCs w:val="24"/>
              </w:rPr>
              <w:t>UNID.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642" w:rsidRPr="005F74C4" w:rsidRDefault="00AC4642" w:rsidP="005F74C4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F74C4">
              <w:rPr>
                <w:rFonts w:ascii="Arial Narrow" w:hAnsi="Arial Narrow"/>
                <w:b/>
                <w:bCs/>
                <w:sz w:val="24"/>
                <w:szCs w:val="24"/>
              </w:rPr>
              <w:t>Coletor Compactador de lixo com as seguintes especificações: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Coletor novo, de fabricação nacional, com</w:t>
            </w:r>
            <w:r w:rsidR="005F74C4" w:rsidRP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capacidade para 6 m³, teto em chapa lisa,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laterais em chapa única calandrada, descarga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por painel ejetor, com cilindro de dupla ação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e sistema de carregamento traseiro,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compactação por sistema pendular,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acionado por cilindro de compactação com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diâmetro de 4.1/2”, e placa de transferência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comandada também por dois cilindros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diâmetro de 3 ½”, com comando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semiautomático;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Todos os pontos de movimentação são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bronzinas lubrificadas, através de graxeiras,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sistemas de abertura da tampa traseira por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dois cilindros sendo um em cada lateral,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sistema de travamento manual, possui também caixa coletora de chorume com capacidade de 65 litros e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capacidade de boca de carga de 1,2 m³. Sinalização de acordo com as normas de trânsito, inclusive com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giroflex traseiro ou estrobo, e alerta sonoro entre a traseira do equipamento e a cabine do motorista.</w:t>
            </w:r>
          </w:p>
          <w:p w:rsidR="005F74C4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Plataforma traseira para 04 (quatro) pessoas, com corrimão superior e lateral.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 xml:space="preserve">Taxa de Compactação: 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Todo o lixo depositado no interior da praça de carga, na traseira do veículo, é transportado para o interior da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caixa de armazenagem por intermédio de movimentos sincronizados das placas compactadoras, passo a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passo, por meio de alavancas, o que permite parar ou reverter o ciclo de compactação quando necessário.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DESCARGA: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O descarregamento do lixo é feito por intermédio escudo ejetor, que se movimenta no interior da caixa de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armazenagem, impulsionado por cilindro hidráulico telescópico dupla ação de estágios, guiado por trilhos.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DESCRIÇÃO DO EQUIPAMENTO: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CAIXA DE ARMAZENAGEM: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Capacidade: Volume real de 6 m³ de lixo compactado.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Fixação: por intermédio de grampos e placas parafusadas, previamente posicionadas, a fim de não alterar ascaracterísticas originais do chassi. Todo conjunto chamado de "Chassi da Caixa de Armazenagem" é assentado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Pr="005F74C4">
              <w:rPr>
                <w:rFonts w:ascii="Arial Narrow" w:hAnsi="Arial Narrow"/>
                <w:sz w:val="24"/>
                <w:szCs w:val="24"/>
              </w:rPr>
              <w:t>sobre o chassi do veículo, garantindo dessa forma, uma distribuição uniforme da carga sobre as longarinas do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 xml:space="preserve">chassi. Na região dianteira são utilizados consoles na fixação do quadro auxiliar,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seguindo as recomendações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do fabricante do chassi.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Construção: A caixa de armazenagem é confeccionada em chapas de aço SAE ASTM A36 espessura de 3/16"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para laterais e fundo e espessura de 1/8” para teto, com cantos arredondados, soldados eletricamente pelo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processo MIG, com cordão contínuo, estruturadas por perfis dobrados com espessura 1/4", o que garante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geometria, estabilidade e robustez ao conjunto. Em seu interior encontram-se os trilhos de guia para o</w:t>
            </w:r>
            <w:r w:rsidR="005F74C4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escudo ejetor, soldados por todo o comprimento.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ESCUDO EJETOR: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Acionamento: Seu movimento é proporcionado por um cilindro hidráulico, dupla ação de estágios, com o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diâmetro maior de quatro polegadas (100mm), conferindo ao escudo ejetor força de descarga igual a 11.170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kgf no arranque.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Deslocamento: Durante os movimentos no interior da caixa de armazenagem, o escudo ejetor é guiado por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trilhos instalados na base da mesma, descrevendo um curso total de 2.434 mm.</w:t>
            </w:r>
          </w:p>
          <w:p w:rsidR="003869E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Construção: estrutura em perfil de aço SAE ASTM A36 (dobrado com espessura 1/4") e revestida com chapa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de aço SAE 1010/1020 espessura de 1/8", soldados eletricamente pelo processo MIG, com cordão contínuo,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dotado de "olhais" para ancoragem do cilindro de acionamento.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 xml:space="preserve"> PORTA TRASEIRA: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Fixação: Seu acoplamento à caixa de armazenagem é feito por intermédio de "dobradiças" e por eixos em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aço SAE 1045, devidamente lubrificados e de fácil substituição.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 xml:space="preserve">Movimento: A porta traseira bascula descrevendo um ângulo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de 90° a partir do repouso (movimento</w:t>
            </w:r>
            <w:r w:rsidR="00AC5C9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necessário para a descarga).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Acionamento: Seu basculamento é proporcionado por dois cilindros hidráulicos de simples ação,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posicionados nas laterais externas, os quais são responsáveis por produzir 5.000 kgf cada, comandados por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alavancas. Seu travamento é feito manualmente através de dispositivo localizado na lateral do mesmo, por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sistema mecânico.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Construção: Construída em chapas de aço SAE ASTM A36 espessura de 3/16” (4,75mm) nas laterais e 1/4”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(6,35mm) na praça de carga, estruturada por perfis de aço SAE 1010/1020 dobrados com espessura 1/4”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(6,35mm), soldadas eletricamente pelo processo MIG, com cordão contínuo, o que garante ao conjunto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características de equilíbrio, robustez e geometria, possibilitando a futura instalação de dispositivo para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basculamento de containers.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Estribo: revestido com chapa xadrez antiderrapante, com capacidade para 04 operadores, localizada a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aproximadamente 500mm do solo, tendo 350 mm de profundidade por toda a largura do veículo. Existe, na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porta traseira, garras de sustentação suficientes para apoio dos operadores.</w:t>
            </w:r>
          </w:p>
          <w:p w:rsidR="00B22BDE" w:rsidRPr="005F74C4" w:rsidRDefault="00B22BDE" w:rsidP="0056330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Reservatório de chorume: Instalado na praça de carga uma caixa para coleta do chorume, equipado com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calha entre a boca de descarga da caixa de armazenagem e a porta traseira, com capacidade de 65 litros e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válvula de escoamento.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Vedação: Sistema de vedação entre a caixa de armazenagem e a porta traseira por meio de perfis de borracha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 xml:space="preserve">da linha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automotiva, garantindo a estanqueidade total durante todas as etapas de coleta e compactação do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lixo.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Componentes: A porta traseira possui luminária acima da praça de carga com lâmpada de 55 watts,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sinalizador sonoro (da parte traseira para a cabine do motorista), sinalizador rotativo (giroflex), sinaleiras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originais do veículo embutidas, situadas na parte traseira superior, garras de sustentação para os operadores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e painel dos comandos hidráulicos.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PLACAS COMPACTADORAS: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O sistema é formado por duas placas (placas transportadora e compactadora), sendo que ambas prescrevem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movimento angular acionadas por quatro cilindros hidráulicos (dois em cada placa).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Fixação: dobradiças e pinos em aço SAE 1045, devidamente lubrificados por graxeiras de fácil acesso.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Acionamento: dois cilindros hidráulicos de dupla ação em cada placa, localizados no interior da porta traseira,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os quais são responsáveis por produzir 11.172 kgf cada (placa transportadora), e 8.160 kgf cada (placa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compactadora), comandados por alavancas, na lateral da estrutura.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Construção: chapas de aço SAE ASTM A36, espessura 5/16”, estruturada por perfis de aço SAE ASTM A36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dobrados com espessura 1/4” (6,35mm).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DEPÓSITO DE CARGA TRASEIRO (ADICIONAL DE CARGA):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Capacidade: 1,2 m³ de lixo solto.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Construção: chapas de aço SAE SAC 50, espessura #1/4” (6,35mm), reforçados por perfis “U” dobrados,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 xml:space="preserve">espessura #1/4”, soldados eletricamente pelo processo MIG,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com cordão contínuo.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PINTURA: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Todos os itens descritos de 1.3.1 a 1.3.5, são jateados e/ou decapados por substâncias químicas, ficando as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superfícies metálicas isentas de partículas responsáveis por focos de oxidação, ferrugem e corrosão.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Recebendo posteriormente demãos de oxiprimer (fundo) e tinta automotiva na cor branco padrão DAMAEQ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ou a cor indicada pelo cliente, bem como a pintura de logomarcas (opcional). Na parte traseira o para-choques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recebe adesivo refletivo conforme legislação de trânsito vigente.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SISTEMA HIDRÁULICO: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Dimensionamento: Todo o sistema hidráulico está dimensionado para atender satisfatoriamente todas as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solicitações durante o funcionamento do equipamento.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Pressão: Trabalhando com médias pressões (180 Kgf/cm²), não sobrecarrega as tubulações, mangueiras,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conexões e componentes, o que aumenta consideravelmente a vida útil do sistema.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Tanque: Equipado com bocal de enchimento, nível de óleo, filtro de sucção e antivórtice. Possui capacidade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para 80 litros, condizente com a necessidade do sistema.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Cilindros: Possuem hastes cromadas e guarnições especiais para uso externo.</w:t>
            </w:r>
          </w:p>
          <w:p w:rsidR="00B22BDE" w:rsidRPr="005F74C4" w:rsidRDefault="00B22BDE" w:rsidP="005F74C4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>Bomba Hidráulica: Acoplada diretamente a tomada de força do chassi. Pressão limitada por válvula de alivio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no sistema. Possui placas substituíveis e eixo sobre buchas.</w:t>
            </w:r>
          </w:p>
          <w:p w:rsidR="00B22BDE" w:rsidRPr="0056330C" w:rsidRDefault="00B22BDE" w:rsidP="0056330C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F74C4">
              <w:rPr>
                <w:rFonts w:ascii="Arial Narrow" w:hAnsi="Arial Narrow"/>
                <w:sz w:val="24"/>
                <w:szCs w:val="24"/>
              </w:rPr>
              <w:t xml:space="preserve">Comandos: Blocos de comando com acionamento manual, por </w:t>
            </w:r>
            <w:r w:rsidRPr="005F74C4">
              <w:rPr>
                <w:rFonts w:ascii="Arial Narrow" w:hAnsi="Arial Narrow"/>
                <w:sz w:val="24"/>
                <w:szCs w:val="24"/>
              </w:rPr>
              <w:lastRenderedPageBreak/>
              <w:t>alavancas, sendo o traseiro com</w:t>
            </w:r>
            <w:r w:rsidR="0056330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F74C4">
              <w:rPr>
                <w:rFonts w:ascii="Arial Narrow" w:hAnsi="Arial Narrow"/>
                <w:sz w:val="24"/>
                <w:szCs w:val="24"/>
              </w:rPr>
              <w:t>destravamento automático, com o fim de curso dos cilindros compactadores</w:t>
            </w:r>
            <w:r w:rsidRPr="005F74C4">
              <w:rPr>
                <w:sz w:val="24"/>
                <w:szCs w:val="24"/>
              </w:rPr>
              <w:t>.</w:t>
            </w:r>
          </w:p>
          <w:p w:rsidR="00B03D4B" w:rsidRPr="003E0926" w:rsidRDefault="00B03D4B" w:rsidP="0056330C">
            <w:pPr>
              <w:tabs>
                <w:tab w:val="left" w:pos="234"/>
              </w:tabs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D8" w:rsidRPr="003E0926" w:rsidRDefault="00CD56D8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44334D" w:rsidRPr="003E0926" w:rsidTr="003E0926">
        <w:tc>
          <w:tcPr>
            <w:tcW w:w="14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34D" w:rsidRPr="003E0926" w:rsidRDefault="0044334D" w:rsidP="003E0926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:rsidR="0044334D" w:rsidRPr="00200292" w:rsidRDefault="0044334D" w:rsidP="00EE5E53">
      <w:pPr>
        <w:jc w:val="both"/>
        <w:rPr>
          <w:rFonts w:ascii="Arial Narrow" w:hAnsi="Arial Narrow" w:cs="Arial"/>
          <w:bCs/>
          <w:sz w:val="24"/>
          <w:szCs w:val="24"/>
        </w:rPr>
      </w:pPr>
    </w:p>
    <w:p w:rsidR="00F24FE6" w:rsidRPr="00200292" w:rsidRDefault="00F24FE6" w:rsidP="00F24FE6">
      <w:pPr>
        <w:ind w:right="-136"/>
        <w:jc w:val="both"/>
        <w:rPr>
          <w:rFonts w:ascii="Arial Narrow" w:hAnsi="Arial Narrow"/>
          <w:sz w:val="24"/>
          <w:szCs w:val="24"/>
        </w:rPr>
      </w:pPr>
      <w:r w:rsidRPr="00200292">
        <w:rPr>
          <w:rFonts w:ascii="Arial Narrow" w:hAnsi="Arial Narrow"/>
          <w:sz w:val="24"/>
          <w:szCs w:val="24"/>
        </w:rPr>
        <w:t>Declaro que nos preços propostos estão incluídos todos os tributos, encargos sociais, frete até o destino e quaisquer outros ônus que porventura possam recair sobre o fornecimento do objeto da presente licitação e que estou de acordo com todas as normas da solicitação de propostas e seus anexos.</w:t>
      </w:r>
    </w:p>
    <w:p w:rsidR="00D750B4" w:rsidRPr="00200292" w:rsidRDefault="00D750B4" w:rsidP="00F24FE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4860"/>
      </w:tblGrid>
      <w:tr w:rsidR="00F24FE6" w:rsidRPr="003E0926" w:rsidTr="003E0926">
        <w:tc>
          <w:tcPr>
            <w:tcW w:w="4608" w:type="dxa"/>
          </w:tcPr>
          <w:p w:rsidR="00F24FE6" w:rsidRPr="003E0926" w:rsidRDefault="00F24FE6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Valor Total:</w:t>
            </w:r>
          </w:p>
        </w:tc>
        <w:tc>
          <w:tcPr>
            <w:tcW w:w="4860" w:type="dxa"/>
          </w:tcPr>
          <w:p w:rsidR="00F24FE6" w:rsidRPr="003E0926" w:rsidRDefault="00F24FE6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  <w:tr w:rsidR="00F24FE6" w:rsidRPr="003E0926" w:rsidTr="003E0926">
        <w:tc>
          <w:tcPr>
            <w:tcW w:w="4608" w:type="dxa"/>
          </w:tcPr>
          <w:p w:rsidR="00F24FE6" w:rsidRPr="003E0926" w:rsidRDefault="00F24FE6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Validade da Proposta (mínimo 60 dias):</w:t>
            </w:r>
          </w:p>
        </w:tc>
        <w:tc>
          <w:tcPr>
            <w:tcW w:w="4860" w:type="dxa"/>
          </w:tcPr>
          <w:p w:rsidR="00F24FE6" w:rsidRPr="003E0926" w:rsidRDefault="00F24FE6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  <w:tr w:rsidR="00F24FE6" w:rsidRPr="003E0926" w:rsidTr="003E0926">
        <w:tc>
          <w:tcPr>
            <w:tcW w:w="4608" w:type="dxa"/>
          </w:tcPr>
          <w:p w:rsidR="00F24FE6" w:rsidRPr="003E0926" w:rsidRDefault="00F24FE6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Condições de Entrega:</w:t>
            </w:r>
          </w:p>
        </w:tc>
        <w:tc>
          <w:tcPr>
            <w:tcW w:w="4860" w:type="dxa"/>
          </w:tcPr>
          <w:p w:rsidR="00F24FE6" w:rsidRPr="003E0926" w:rsidRDefault="00F24FE6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Conforme Edital</w:t>
            </w:r>
          </w:p>
        </w:tc>
      </w:tr>
      <w:tr w:rsidR="00F24FE6" w:rsidRPr="003E0926" w:rsidTr="003E0926">
        <w:tc>
          <w:tcPr>
            <w:tcW w:w="4608" w:type="dxa"/>
          </w:tcPr>
          <w:p w:rsidR="00F24FE6" w:rsidRPr="003E0926" w:rsidRDefault="00F24FE6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Local de Entrega:</w:t>
            </w:r>
          </w:p>
        </w:tc>
        <w:tc>
          <w:tcPr>
            <w:tcW w:w="4860" w:type="dxa"/>
          </w:tcPr>
          <w:p w:rsidR="00F24FE6" w:rsidRPr="003E0926" w:rsidRDefault="00F24FE6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Conforme Edital</w:t>
            </w:r>
          </w:p>
        </w:tc>
      </w:tr>
      <w:tr w:rsidR="00F24FE6" w:rsidRPr="003E0926" w:rsidTr="003E0926">
        <w:tc>
          <w:tcPr>
            <w:tcW w:w="4608" w:type="dxa"/>
          </w:tcPr>
          <w:p w:rsidR="00F24FE6" w:rsidRPr="003E0926" w:rsidRDefault="00F24FE6" w:rsidP="00797E9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E0926">
              <w:rPr>
                <w:rFonts w:ascii="Arial Narrow" w:hAnsi="Arial Narrow"/>
                <w:b/>
                <w:sz w:val="24"/>
                <w:szCs w:val="24"/>
              </w:rPr>
              <w:t>Assinatura:</w:t>
            </w:r>
          </w:p>
        </w:tc>
        <w:tc>
          <w:tcPr>
            <w:tcW w:w="4860" w:type="dxa"/>
          </w:tcPr>
          <w:p w:rsidR="00F24FE6" w:rsidRPr="003E0926" w:rsidRDefault="00F24FE6" w:rsidP="00797E96">
            <w:pPr>
              <w:rPr>
                <w:rFonts w:ascii="Arial Narrow" w:hAnsi="Arial Narrow"/>
                <w:sz w:val="24"/>
                <w:szCs w:val="24"/>
              </w:rPr>
            </w:pPr>
            <w:r w:rsidRPr="003E0926">
              <w:rPr>
                <w:rFonts w:ascii="Arial Narrow" w:hAnsi="Arial Narrow"/>
                <w:sz w:val="24"/>
                <w:szCs w:val="24"/>
              </w:rPr>
              <w:t>__________________________________</w:t>
            </w:r>
          </w:p>
        </w:tc>
      </w:tr>
    </w:tbl>
    <w:p w:rsidR="00F24FE6" w:rsidRPr="00200292" w:rsidRDefault="00F24FE6" w:rsidP="00F24FE6">
      <w:pPr>
        <w:rPr>
          <w:rFonts w:ascii="Arial Narrow" w:hAnsi="Arial Narrow"/>
          <w:b/>
        </w:rPr>
      </w:pPr>
    </w:p>
    <w:p w:rsidR="00174BAF" w:rsidRPr="00200292" w:rsidRDefault="00174BAF" w:rsidP="00EE5E53">
      <w:pPr>
        <w:rPr>
          <w:rFonts w:ascii="Arial Narrow" w:hAnsi="Arial Narrow"/>
          <w:szCs w:val="28"/>
        </w:rPr>
      </w:pPr>
    </w:p>
    <w:sectPr w:rsidR="00174BAF" w:rsidRPr="00200292" w:rsidSect="00ED2CCB">
      <w:headerReference w:type="default" r:id="rId7"/>
      <w:footerReference w:type="even" r:id="rId8"/>
      <w:footerReference w:type="default" r:id="rId9"/>
      <w:pgSz w:w="16838" w:h="11906" w:orient="landscape" w:code="9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F56" w:rsidRDefault="00633F56">
      <w:r>
        <w:separator/>
      </w:r>
    </w:p>
  </w:endnote>
  <w:endnote w:type="continuationSeparator" w:id="1">
    <w:p w:rsidR="00633F56" w:rsidRDefault="00633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0D3" w:rsidRDefault="00887490" w:rsidP="00E042B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C70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70D3" w:rsidRDefault="009C70D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0D3" w:rsidRDefault="00887490" w:rsidP="00E042B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C70D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69E4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9C70D3" w:rsidRDefault="009C70D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F56" w:rsidRDefault="00633F56">
      <w:r>
        <w:separator/>
      </w:r>
    </w:p>
  </w:footnote>
  <w:footnote w:type="continuationSeparator" w:id="1">
    <w:p w:rsidR="00633F56" w:rsidRDefault="00633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2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28"/>
      <w:gridCol w:w="6916"/>
    </w:tblGrid>
    <w:tr w:rsidR="009C70D3" w:rsidTr="003E0926">
      <w:tc>
        <w:tcPr>
          <w:tcW w:w="1728" w:type="dxa"/>
          <w:tcBorders>
            <w:top w:val="nil"/>
            <w:left w:val="nil"/>
            <w:bottom w:val="nil"/>
            <w:right w:val="nil"/>
          </w:tcBorders>
        </w:tcPr>
        <w:p w:rsidR="009C70D3" w:rsidRPr="000D4B39" w:rsidRDefault="003769A7" w:rsidP="003E0926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23925" cy="8191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tcBorders>
            <w:top w:val="nil"/>
            <w:left w:val="nil"/>
            <w:bottom w:val="nil"/>
            <w:right w:val="nil"/>
          </w:tcBorders>
        </w:tcPr>
        <w:p w:rsidR="009C70D3" w:rsidRPr="003E0926" w:rsidRDefault="003769A7" w:rsidP="003E0926">
          <w:pPr>
            <w:jc w:val="center"/>
            <w:rPr>
              <w:rFonts w:ascii="Arial Black" w:hAnsi="Arial Black"/>
              <w:b/>
              <w:i/>
              <w:sz w:val="28"/>
              <w:szCs w:val="28"/>
              <w:u w:val="single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-116840</wp:posOffset>
                </wp:positionV>
                <wp:extent cx="1295400" cy="895350"/>
                <wp:effectExtent l="19050" t="0" r="0" b="0"/>
                <wp:wrapNone/>
                <wp:docPr id="3" name="Imagem 1" descr="logo 2017 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2017 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C70D3" w:rsidRPr="003E0926">
            <w:rPr>
              <w:rFonts w:ascii="Arial Black" w:hAnsi="Arial Black"/>
              <w:b/>
              <w:i/>
              <w:sz w:val="28"/>
              <w:szCs w:val="28"/>
              <w:u w:val="single"/>
            </w:rPr>
            <w:t>PREFEITURA MUNICIPAL DE PAINS</w:t>
          </w:r>
        </w:p>
        <w:p w:rsidR="009C70D3" w:rsidRPr="003E0926" w:rsidRDefault="009C70D3" w:rsidP="003E0926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3E0926">
            <w:rPr>
              <w:rFonts w:ascii="Arial" w:hAnsi="Arial" w:cs="Arial"/>
              <w:sz w:val="18"/>
              <w:szCs w:val="18"/>
            </w:rPr>
            <w:t>CNPJ 20.920.575/0001-30</w:t>
          </w:r>
        </w:p>
        <w:p w:rsidR="009C70D3" w:rsidRPr="003E0926" w:rsidRDefault="009C70D3" w:rsidP="003E0926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E0926">
            <w:rPr>
              <w:rFonts w:ascii="Arial" w:hAnsi="Arial" w:cs="Arial"/>
              <w:b/>
              <w:sz w:val="22"/>
              <w:szCs w:val="22"/>
            </w:rPr>
            <w:t>PRAÇA TONICO RABELO, 164  -  FONE: (37)3323-1285</w:t>
          </w:r>
        </w:p>
        <w:p w:rsidR="009C70D3" w:rsidRPr="003E0926" w:rsidRDefault="009C70D3" w:rsidP="003E0926">
          <w:pPr>
            <w:jc w:val="center"/>
            <w:rPr>
              <w:rFonts w:ascii="Arial" w:hAnsi="Arial" w:cs="Arial"/>
            </w:rPr>
          </w:pPr>
          <w:r w:rsidRPr="003E0926">
            <w:rPr>
              <w:rFonts w:ascii="Arial" w:hAnsi="Arial" w:cs="Arial"/>
              <w:b/>
              <w:sz w:val="22"/>
              <w:szCs w:val="22"/>
            </w:rPr>
            <w:t>CEP 35582-000            -             PAINS          -             MG</w:t>
          </w:r>
        </w:p>
        <w:p w:rsidR="009C70D3" w:rsidRPr="003E0926" w:rsidRDefault="009C70D3" w:rsidP="003E0926">
          <w:pPr>
            <w:jc w:val="center"/>
            <w:rPr>
              <w:rFonts w:ascii="Arial Black" w:hAnsi="Arial Black"/>
              <w:sz w:val="18"/>
              <w:szCs w:val="18"/>
            </w:rPr>
          </w:pPr>
        </w:p>
      </w:tc>
    </w:tr>
  </w:tbl>
  <w:p w:rsidR="009C70D3" w:rsidRDefault="009C70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174"/>
    <w:multiLevelType w:val="hybridMultilevel"/>
    <w:tmpl w:val="C9763F3A"/>
    <w:lvl w:ilvl="0" w:tplc="901026B0">
      <w:start w:val="1"/>
      <w:numFmt w:val="bullet"/>
      <w:lvlText w:val=""/>
      <w:lvlJc w:val="left"/>
      <w:pPr>
        <w:tabs>
          <w:tab w:val="num" w:pos="170"/>
        </w:tabs>
        <w:ind w:left="284" w:hanging="284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364979"/>
    <w:multiLevelType w:val="multilevel"/>
    <w:tmpl w:val="CF349BC6"/>
    <w:lvl w:ilvl="0">
      <w:start w:val="1"/>
      <w:numFmt w:val="decimal"/>
      <w:lvlText w:val="%1."/>
      <w:lvlJc w:val="left"/>
      <w:pPr>
        <w:tabs>
          <w:tab w:val="num" w:pos="590"/>
        </w:tabs>
        <w:ind w:left="947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843E7"/>
    <w:multiLevelType w:val="multilevel"/>
    <w:tmpl w:val="FBC444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C96846"/>
    <w:multiLevelType w:val="hybridMultilevel"/>
    <w:tmpl w:val="14D6CD5E"/>
    <w:lvl w:ilvl="0" w:tplc="04160017">
      <w:start w:val="1"/>
      <w:numFmt w:val="lowerLetter"/>
      <w:lvlText w:val="%1)"/>
      <w:lvlJc w:val="left"/>
      <w:pPr>
        <w:tabs>
          <w:tab w:val="num" w:pos="2190"/>
        </w:tabs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abstractNum w:abstractNumId="4">
    <w:nsid w:val="1BB17C16"/>
    <w:multiLevelType w:val="hybridMultilevel"/>
    <w:tmpl w:val="4DE2696E"/>
    <w:lvl w:ilvl="0" w:tplc="04160013">
      <w:start w:val="1"/>
      <w:numFmt w:val="upperRoman"/>
      <w:lvlText w:val="%1."/>
      <w:lvlJc w:val="right"/>
      <w:pPr>
        <w:tabs>
          <w:tab w:val="num" w:pos="1110"/>
        </w:tabs>
        <w:ind w:left="1110" w:hanging="180"/>
      </w:pPr>
    </w:lvl>
    <w:lvl w:ilvl="1" w:tplc="04160017">
      <w:start w:val="1"/>
      <w:numFmt w:val="lowerLetter"/>
      <w:lvlText w:val="%2)"/>
      <w:lvlJc w:val="left"/>
      <w:pPr>
        <w:tabs>
          <w:tab w:val="num" w:pos="1830"/>
        </w:tabs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5">
    <w:nsid w:val="261F3BF3"/>
    <w:multiLevelType w:val="multilevel"/>
    <w:tmpl w:val="FBC444BC"/>
    <w:lvl w:ilvl="0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C146F"/>
    <w:multiLevelType w:val="singleLevel"/>
    <w:tmpl w:val="51966B08"/>
    <w:lvl w:ilvl="0">
      <w:start w:val="2"/>
      <w:numFmt w:val="upperRoman"/>
      <w:lvlText w:val="%1-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7">
    <w:nsid w:val="317D453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3A0F0D09"/>
    <w:multiLevelType w:val="hybridMultilevel"/>
    <w:tmpl w:val="1A76775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B049E8"/>
    <w:multiLevelType w:val="singleLevel"/>
    <w:tmpl w:val="021EB118"/>
    <w:lvl w:ilvl="0">
      <w:start w:val="3"/>
      <w:numFmt w:val="upperRoman"/>
      <w:lvlText w:val="%1-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10">
    <w:nsid w:val="4572644D"/>
    <w:multiLevelType w:val="hybridMultilevel"/>
    <w:tmpl w:val="6862F2B4"/>
    <w:lvl w:ilvl="0" w:tplc="46D6CF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65E2A"/>
    <w:multiLevelType w:val="hybridMultilevel"/>
    <w:tmpl w:val="FBC444BC"/>
    <w:lvl w:ilvl="0" w:tplc="EC8EC9AE">
      <w:start w:val="1"/>
      <w:numFmt w:val="decimal"/>
      <w:lvlText w:val="%1."/>
      <w:lvlJc w:val="left"/>
      <w:pPr>
        <w:tabs>
          <w:tab w:val="num" w:pos="0"/>
        </w:tabs>
        <w:ind w:left="0" w:firstLine="227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2D5C9A"/>
    <w:multiLevelType w:val="multilevel"/>
    <w:tmpl w:val="EE18CE88"/>
    <w:lvl w:ilvl="0">
      <w:start w:val="1"/>
      <w:numFmt w:val="decimal"/>
      <w:lvlText w:val="%1."/>
      <w:lvlJc w:val="left"/>
      <w:pPr>
        <w:tabs>
          <w:tab w:val="num" w:pos="590"/>
        </w:tabs>
        <w:ind w:left="947" w:hanging="77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10CA6"/>
    <w:multiLevelType w:val="hybridMultilevel"/>
    <w:tmpl w:val="E68E5C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724E3F"/>
    <w:multiLevelType w:val="singleLevel"/>
    <w:tmpl w:val="0BE8347E"/>
    <w:lvl w:ilvl="0">
      <w:start w:val="4"/>
      <w:numFmt w:val="upperRoman"/>
      <w:lvlText w:val="%1- "/>
      <w:legacy w:legacy="1" w:legacySpace="0" w:legacyIndent="283"/>
      <w:lvlJc w:val="left"/>
      <w:pPr>
        <w:ind w:left="283" w:hanging="283"/>
      </w:pPr>
      <w:rPr>
        <w:b w:val="0"/>
        <w:i w:val="0"/>
        <w:sz w:val="26"/>
      </w:rPr>
    </w:lvl>
  </w:abstractNum>
  <w:abstractNum w:abstractNumId="15">
    <w:nsid w:val="50562F1E"/>
    <w:multiLevelType w:val="hybridMultilevel"/>
    <w:tmpl w:val="9DEA8370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57D956CF"/>
    <w:multiLevelType w:val="multilevel"/>
    <w:tmpl w:val="756886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4150CF"/>
    <w:multiLevelType w:val="hybridMultilevel"/>
    <w:tmpl w:val="B33A68A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CCF0C94"/>
    <w:multiLevelType w:val="hybridMultilevel"/>
    <w:tmpl w:val="7CF2BB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F3911"/>
    <w:multiLevelType w:val="hybridMultilevel"/>
    <w:tmpl w:val="DEF60544"/>
    <w:lvl w:ilvl="0" w:tplc="46D6CF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467422"/>
    <w:multiLevelType w:val="hybridMultilevel"/>
    <w:tmpl w:val="3F1CA940"/>
    <w:lvl w:ilvl="0" w:tplc="EC867056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42CD7"/>
    <w:multiLevelType w:val="hybridMultilevel"/>
    <w:tmpl w:val="ECB2FF46"/>
    <w:lvl w:ilvl="0" w:tplc="7FBAA1B4">
      <w:start w:val="1"/>
      <w:numFmt w:val="decimal"/>
      <w:lvlText w:val="%1."/>
      <w:lvlJc w:val="left"/>
      <w:pPr>
        <w:tabs>
          <w:tab w:val="num" w:pos="590"/>
        </w:tabs>
        <w:ind w:left="947" w:hanging="777"/>
      </w:pPr>
      <w:rPr>
        <w:rFonts w:hint="default"/>
      </w:rPr>
    </w:lvl>
    <w:lvl w:ilvl="1" w:tplc="7154316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BF0333"/>
    <w:multiLevelType w:val="multilevel"/>
    <w:tmpl w:val="5F80165C"/>
    <w:lvl w:ilvl="0">
      <w:start w:val="1"/>
      <w:numFmt w:val="decimal"/>
      <w:lvlText w:val="%1."/>
      <w:lvlJc w:val="left"/>
      <w:pPr>
        <w:tabs>
          <w:tab w:val="num" w:pos="590"/>
        </w:tabs>
        <w:ind w:left="947" w:hanging="777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3"/>
  </w:num>
  <w:num w:numId="5">
    <w:abstractNumId w:val="17"/>
  </w:num>
  <w:num w:numId="6">
    <w:abstractNumId w:val="15"/>
  </w:num>
  <w:num w:numId="7">
    <w:abstractNumId w:val="20"/>
  </w:num>
  <w:num w:numId="8">
    <w:abstractNumId w:val="7"/>
    <w:lvlOverride w:ilvl="0">
      <w:startOverride w:val="1"/>
    </w:lvlOverride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3"/>
    </w:lvlOverride>
  </w:num>
  <w:num w:numId="11">
    <w:abstractNumId w:val="14"/>
    <w:lvlOverride w:ilvl="0">
      <w:startOverride w:val="4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6"/>
  </w:num>
  <w:num w:numId="17">
    <w:abstractNumId w:val="11"/>
  </w:num>
  <w:num w:numId="18">
    <w:abstractNumId w:val="5"/>
  </w:num>
  <w:num w:numId="19">
    <w:abstractNumId w:val="2"/>
  </w:num>
  <w:num w:numId="20">
    <w:abstractNumId w:val="21"/>
  </w:num>
  <w:num w:numId="21">
    <w:abstractNumId w:val="1"/>
  </w:num>
  <w:num w:numId="22">
    <w:abstractNumId w:val="22"/>
  </w:num>
  <w:num w:numId="23">
    <w:abstractNumId w:val="12"/>
  </w:num>
  <w:num w:numId="24">
    <w:abstractNumId w:val="0"/>
  </w:num>
  <w:num w:numId="2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072B4C"/>
    <w:rsid w:val="000209AB"/>
    <w:rsid w:val="0002394E"/>
    <w:rsid w:val="0003180F"/>
    <w:rsid w:val="000405CF"/>
    <w:rsid w:val="00040F54"/>
    <w:rsid w:val="00056988"/>
    <w:rsid w:val="00072B4C"/>
    <w:rsid w:val="00075854"/>
    <w:rsid w:val="000824E0"/>
    <w:rsid w:val="00082C4F"/>
    <w:rsid w:val="000917BD"/>
    <w:rsid w:val="000A16DA"/>
    <w:rsid w:val="000A3B82"/>
    <w:rsid w:val="000A7C6C"/>
    <w:rsid w:val="000B7FFB"/>
    <w:rsid w:val="000C04F6"/>
    <w:rsid w:val="000C0C1E"/>
    <w:rsid w:val="000C1B64"/>
    <w:rsid w:val="000C2171"/>
    <w:rsid w:val="000C3611"/>
    <w:rsid w:val="000C60C8"/>
    <w:rsid w:val="000D4B39"/>
    <w:rsid w:val="000E24D1"/>
    <w:rsid w:val="000F396F"/>
    <w:rsid w:val="000F496C"/>
    <w:rsid w:val="00103B30"/>
    <w:rsid w:val="0010401B"/>
    <w:rsid w:val="00106222"/>
    <w:rsid w:val="00110EA0"/>
    <w:rsid w:val="0011375C"/>
    <w:rsid w:val="00115194"/>
    <w:rsid w:val="00117F90"/>
    <w:rsid w:val="00125DD9"/>
    <w:rsid w:val="001301D4"/>
    <w:rsid w:val="00140222"/>
    <w:rsid w:val="00144AD2"/>
    <w:rsid w:val="001461C9"/>
    <w:rsid w:val="00157256"/>
    <w:rsid w:val="0016062E"/>
    <w:rsid w:val="0016575E"/>
    <w:rsid w:val="00174BAF"/>
    <w:rsid w:val="00175D14"/>
    <w:rsid w:val="00175DFE"/>
    <w:rsid w:val="00187BF3"/>
    <w:rsid w:val="001A2C44"/>
    <w:rsid w:val="001A4D31"/>
    <w:rsid w:val="001A567D"/>
    <w:rsid w:val="001B1A53"/>
    <w:rsid w:val="001B2A62"/>
    <w:rsid w:val="001C095C"/>
    <w:rsid w:val="001F7330"/>
    <w:rsid w:val="001F7435"/>
    <w:rsid w:val="00200292"/>
    <w:rsid w:val="00200D86"/>
    <w:rsid w:val="00220707"/>
    <w:rsid w:val="00221B98"/>
    <w:rsid w:val="00241D82"/>
    <w:rsid w:val="0027518F"/>
    <w:rsid w:val="00283115"/>
    <w:rsid w:val="002836A2"/>
    <w:rsid w:val="0028520E"/>
    <w:rsid w:val="0028739A"/>
    <w:rsid w:val="002A013F"/>
    <w:rsid w:val="002B2D3F"/>
    <w:rsid w:val="002B3088"/>
    <w:rsid w:val="002C5366"/>
    <w:rsid w:val="002C552B"/>
    <w:rsid w:val="002C5E37"/>
    <w:rsid w:val="002D4B28"/>
    <w:rsid w:val="002E4861"/>
    <w:rsid w:val="002E4C26"/>
    <w:rsid w:val="002E6B29"/>
    <w:rsid w:val="002F3F88"/>
    <w:rsid w:val="00325C29"/>
    <w:rsid w:val="0033233B"/>
    <w:rsid w:val="00345647"/>
    <w:rsid w:val="00345F9E"/>
    <w:rsid w:val="00353846"/>
    <w:rsid w:val="00354F79"/>
    <w:rsid w:val="00373DB1"/>
    <w:rsid w:val="003769A7"/>
    <w:rsid w:val="003812BE"/>
    <w:rsid w:val="003869E4"/>
    <w:rsid w:val="00392389"/>
    <w:rsid w:val="00393F20"/>
    <w:rsid w:val="00396F1E"/>
    <w:rsid w:val="003A384F"/>
    <w:rsid w:val="003A6A54"/>
    <w:rsid w:val="003A7BE7"/>
    <w:rsid w:val="003B23E9"/>
    <w:rsid w:val="003C3D26"/>
    <w:rsid w:val="003C413A"/>
    <w:rsid w:val="003C5D55"/>
    <w:rsid w:val="003C6301"/>
    <w:rsid w:val="003E0926"/>
    <w:rsid w:val="003E4B7A"/>
    <w:rsid w:val="003E6DE0"/>
    <w:rsid w:val="004040D2"/>
    <w:rsid w:val="004122F6"/>
    <w:rsid w:val="004260F1"/>
    <w:rsid w:val="00430D26"/>
    <w:rsid w:val="0044334D"/>
    <w:rsid w:val="00451E3F"/>
    <w:rsid w:val="0045418B"/>
    <w:rsid w:val="00456202"/>
    <w:rsid w:val="004578E2"/>
    <w:rsid w:val="00477C73"/>
    <w:rsid w:val="0048029C"/>
    <w:rsid w:val="004818D6"/>
    <w:rsid w:val="004830AD"/>
    <w:rsid w:val="0048639A"/>
    <w:rsid w:val="004873D0"/>
    <w:rsid w:val="00492B6E"/>
    <w:rsid w:val="004A5C84"/>
    <w:rsid w:val="004B3690"/>
    <w:rsid w:val="004B3C6F"/>
    <w:rsid w:val="004B5C47"/>
    <w:rsid w:val="004B6579"/>
    <w:rsid w:val="004C6BDB"/>
    <w:rsid w:val="004D0B6E"/>
    <w:rsid w:val="004D22DF"/>
    <w:rsid w:val="004E2FA6"/>
    <w:rsid w:val="004E4FBD"/>
    <w:rsid w:val="004E6E2C"/>
    <w:rsid w:val="004F6E08"/>
    <w:rsid w:val="005034A6"/>
    <w:rsid w:val="00511C83"/>
    <w:rsid w:val="00512BF4"/>
    <w:rsid w:val="00514463"/>
    <w:rsid w:val="00524F0E"/>
    <w:rsid w:val="00531C69"/>
    <w:rsid w:val="00541E55"/>
    <w:rsid w:val="005426F2"/>
    <w:rsid w:val="005614C5"/>
    <w:rsid w:val="0056330C"/>
    <w:rsid w:val="0056662B"/>
    <w:rsid w:val="00575179"/>
    <w:rsid w:val="00586244"/>
    <w:rsid w:val="0059178A"/>
    <w:rsid w:val="005962E7"/>
    <w:rsid w:val="0059641E"/>
    <w:rsid w:val="005A0B33"/>
    <w:rsid w:val="005A41F0"/>
    <w:rsid w:val="005A6FF6"/>
    <w:rsid w:val="005A78AD"/>
    <w:rsid w:val="005B14C7"/>
    <w:rsid w:val="005B4433"/>
    <w:rsid w:val="005C1B03"/>
    <w:rsid w:val="005C2B26"/>
    <w:rsid w:val="005D1001"/>
    <w:rsid w:val="005D2B03"/>
    <w:rsid w:val="005D4895"/>
    <w:rsid w:val="005D709A"/>
    <w:rsid w:val="005E6BB2"/>
    <w:rsid w:val="005F1DEB"/>
    <w:rsid w:val="005F3CFE"/>
    <w:rsid w:val="005F74C4"/>
    <w:rsid w:val="00600C63"/>
    <w:rsid w:val="006026E1"/>
    <w:rsid w:val="00617984"/>
    <w:rsid w:val="00633F56"/>
    <w:rsid w:val="00637A88"/>
    <w:rsid w:val="00640882"/>
    <w:rsid w:val="00647014"/>
    <w:rsid w:val="006472ED"/>
    <w:rsid w:val="00654D2E"/>
    <w:rsid w:val="00656D74"/>
    <w:rsid w:val="0066097C"/>
    <w:rsid w:val="006609AA"/>
    <w:rsid w:val="0066564A"/>
    <w:rsid w:val="00667B9D"/>
    <w:rsid w:val="006828D7"/>
    <w:rsid w:val="006839F5"/>
    <w:rsid w:val="00685162"/>
    <w:rsid w:val="00691179"/>
    <w:rsid w:val="006A0663"/>
    <w:rsid w:val="006B1349"/>
    <w:rsid w:val="006C1201"/>
    <w:rsid w:val="006C518A"/>
    <w:rsid w:val="006C671F"/>
    <w:rsid w:val="006D3888"/>
    <w:rsid w:val="006D75AA"/>
    <w:rsid w:val="006E0033"/>
    <w:rsid w:val="006E7058"/>
    <w:rsid w:val="007003FB"/>
    <w:rsid w:val="00701AD7"/>
    <w:rsid w:val="00710F5D"/>
    <w:rsid w:val="007165F7"/>
    <w:rsid w:val="007212EA"/>
    <w:rsid w:val="007247F1"/>
    <w:rsid w:val="007334C3"/>
    <w:rsid w:val="00734F47"/>
    <w:rsid w:val="00737A14"/>
    <w:rsid w:val="00744AA5"/>
    <w:rsid w:val="00745650"/>
    <w:rsid w:val="007474B3"/>
    <w:rsid w:val="00750E9B"/>
    <w:rsid w:val="007529F1"/>
    <w:rsid w:val="0075602F"/>
    <w:rsid w:val="007561AB"/>
    <w:rsid w:val="00757FDA"/>
    <w:rsid w:val="0076443E"/>
    <w:rsid w:val="00765D69"/>
    <w:rsid w:val="00766E7F"/>
    <w:rsid w:val="0077063F"/>
    <w:rsid w:val="00787D9D"/>
    <w:rsid w:val="00787E43"/>
    <w:rsid w:val="00797E96"/>
    <w:rsid w:val="007A5E12"/>
    <w:rsid w:val="007B0F56"/>
    <w:rsid w:val="007C18E4"/>
    <w:rsid w:val="007C1D2F"/>
    <w:rsid w:val="007C40F5"/>
    <w:rsid w:val="007D4160"/>
    <w:rsid w:val="007D7505"/>
    <w:rsid w:val="007E10F3"/>
    <w:rsid w:val="007E14C5"/>
    <w:rsid w:val="007E38F0"/>
    <w:rsid w:val="007E5B6D"/>
    <w:rsid w:val="007F14EE"/>
    <w:rsid w:val="00800A31"/>
    <w:rsid w:val="00815043"/>
    <w:rsid w:val="008201C5"/>
    <w:rsid w:val="008306B8"/>
    <w:rsid w:val="0083223B"/>
    <w:rsid w:val="00835C9F"/>
    <w:rsid w:val="00837719"/>
    <w:rsid w:val="00840AB6"/>
    <w:rsid w:val="00840CC8"/>
    <w:rsid w:val="0085444F"/>
    <w:rsid w:val="00855134"/>
    <w:rsid w:val="008556B8"/>
    <w:rsid w:val="0086016B"/>
    <w:rsid w:val="00866F15"/>
    <w:rsid w:val="00873EA5"/>
    <w:rsid w:val="00875994"/>
    <w:rsid w:val="00877F6D"/>
    <w:rsid w:val="00887490"/>
    <w:rsid w:val="00893C62"/>
    <w:rsid w:val="00894961"/>
    <w:rsid w:val="008A1D48"/>
    <w:rsid w:val="008A6551"/>
    <w:rsid w:val="008A6A29"/>
    <w:rsid w:val="008B355B"/>
    <w:rsid w:val="008C3226"/>
    <w:rsid w:val="008C40D2"/>
    <w:rsid w:val="008C5670"/>
    <w:rsid w:val="008D2812"/>
    <w:rsid w:val="008F7069"/>
    <w:rsid w:val="00906045"/>
    <w:rsid w:val="009062BE"/>
    <w:rsid w:val="009167AD"/>
    <w:rsid w:val="0092477D"/>
    <w:rsid w:val="00927D96"/>
    <w:rsid w:val="0093789E"/>
    <w:rsid w:val="00943664"/>
    <w:rsid w:val="00952AF6"/>
    <w:rsid w:val="0095779A"/>
    <w:rsid w:val="00965D08"/>
    <w:rsid w:val="009666E9"/>
    <w:rsid w:val="009752E1"/>
    <w:rsid w:val="0098009B"/>
    <w:rsid w:val="009A1061"/>
    <w:rsid w:val="009A2C11"/>
    <w:rsid w:val="009B6462"/>
    <w:rsid w:val="009C0147"/>
    <w:rsid w:val="009C02BA"/>
    <w:rsid w:val="009C389C"/>
    <w:rsid w:val="009C6A54"/>
    <w:rsid w:val="009C6B64"/>
    <w:rsid w:val="009C70D3"/>
    <w:rsid w:val="009D1620"/>
    <w:rsid w:val="009D1665"/>
    <w:rsid w:val="009D2302"/>
    <w:rsid w:val="009E45B3"/>
    <w:rsid w:val="009E53E8"/>
    <w:rsid w:val="009F0DC4"/>
    <w:rsid w:val="009F24AF"/>
    <w:rsid w:val="009F3F69"/>
    <w:rsid w:val="009F6370"/>
    <w:rsid w:val="00A01977"/>
    <w:rsid w:val="00A01E83"/>
    <w:rsid w:val="00A06D7B"/>
    <w:rsid w:val="00A071FB"/>
    <w:rsid w:val="00A14E7E"/>
    <w:rsid w:val="00A266A6"/>
    <w:rsid w:val="00A3179F"/>
    <w:rsid w:val="00A40CA6"/>
    <w:rsid w:val="00A46F82"/>
    <w:rsid w:val="00A5463D"/>
    <w:rsid w:val="00A63554"/>
    <w:rsid w:val="00A655CD"/>
    <w:rsid w:val="00A9431B"/>
    <w:rsid w:val="00A951CC"/>
    <w:rsid w:val="00AA5980"/>
    <w:rsid w:val="00AC0863"/>
    <w:rsid w:val="00AC4642"/>
    <w:rsid w:val="00AC5C9B"/>
    <w:rsid w:val="00AF3FC2"/>
    <w:rsid w:val="00B03D4B"/>
    <w:rsid w:val="00B10C4B"/>
    <w:rsid w:val="00B11D04"/>
    <w:rsid w:val="00B20086"/>
    <w:rsid w:val="00B2083F"/>
    <w:rsid w:val="00B2285C"/>
    <w:rsid w:val="00B22BDE"/>
    <w:rsid w:val="00B3533C"/>
    <w:rsid w:val="00B36C2B"/>
    <w:rsid w:val="00B410CB"/>
    <w:rsid w:val="00B4296B"/>
    <w:rsid w:val="00B500F9"/>
    <w:rsid w:val="00B57843"/>
    <w:rsid w:val="00B63217"/>
    <w:rsid w:val="00B67739"/>
    <w:rsid w:val="00B90386"/>
    <w:rsid w:val="00B90635"/>
    <w:rsid w:val="00BB409E"/>
    <w:rsid w:val="00BB430D"/>
    <w:rsid w:val="00BB6221"/>
    <w:rsid w:val="00BB6753"/>
    <w:rsid w:val="00BC2C74"/>
    <w:rsid w:val="00BC4090"/>
    <w:rsid w:val="00BD4F9A"/>
    <w:rsid w:val="00BD59C0"/>
    <w:rsid w:val="00BE6247"/>
    <w:rsid w:val="00BE77CA"/>
    <w:rsid w:val="00BF464A"/>
    <w:rsid w:val="00BF6E21"/>
    <w:rsid w:val="00BF7A34"/>
    <w:rsid w:val="00C005EF"/>
    <w:rsid w:val="00C03055"/>
    <w:rsid w:val="00C068AB"/>
    <w:rsid w:val="00C125A4"/>
    <w:rsid w:val="00C210EB"/>
    <w:rsid w:val="00C27064"/>
    <w:rsid w:val="00C351A4"/>
    <w:rsid w:val="00C351C7"/>
    <w:rsid w:val="00C47143"/>
    <w:rsid w:val="00C53E1C"/>
    <w:rsid w:val="00C55CCD"/>
    <w:rsid w:val="00C56053"/>
    <w:rsid w:val="00C74CBF"/>
    <w:rsid w:val="00C76523"/>
    <w:rsid w:val="00C82DFC"/>
    <w:rsid w:val="00C837B0"/>
    <w:rsid w:val="00C837C0"/>
    <w:rsid w:val="00C85092"/>
    <w:rsid w:val="00C8516D"/>
    <w:rsid w:val="00C8783E"/>
    <w:rsid w:val="00C9317C"/>
    <w:rsid w:val="00C96777"/>
    <w:rsid w:val="00CD56D8"/>
    <w:rsid w:val="00CD7DBF"/>
    <w:rsid w:val="00CE2843"/>
    <w:rsid w:val="00CF0454"/>
    <w:rsid w:val="00D024F4"/>
    <w:rsid w:val="00D06FC0"/>
    <w:rsid w:val="00D1030F"/>
    <w:rsid w:val="00D10C37"/>
    <w:rsid w:val="00D119D5"/>
    <w:rsid w:val="00D1294B"/>
    <w:rsid w:val="00D157D0"/>
    <w:rsid w:val="00D31FC3"/>
    <w:rsid w:val="00D3464A"/>
    <w:rsid w:val="00D4021F"/>
    <w:rsid w:val="00D47B98"/>
    <w:rsid w:val="00D51066"/>
    <w:rsid w:val="00D51F62"/>
    <w:rsid w:val="00D544CF"/>
    <w:rsid w:val="00D57A8C"/>
    <w:rsid w:val="00D750B4"/>
    <w:rsid w:val="00D779A0"/>
    <w:rsid w:val="00D907C2"/>
    <w:rsid w:val="00D94BA5"/>
    <w:rsid w:val="00DA24C7"/>
    <w:rsid w:val="00DA30A5"/>
    <w:rsid w:val="00DB378A"/>
    <w:rsid w:val="00DB638F"/>
    <w:rsid w:val="00DB69C8"/>
    <w:rsid w:val="00DC3C0E"/>
    <w:rsid w:val="00DD3C40"/>
    <w:rsid w:val="00DE75F6"/>
    <w:rsid w:val="00DF015D"/>
    <w:rsid w:val="00DF3BC4"/>
    <w:rsid w:val="00DF3E4F"/>
    <w:rsid w:val="00DF5341"/>
    <w:rsid w:val="00DF5B44"/>
    <w:rsid w:val="00DF6CA9"/>
    <w:rsid w:val="00DF6E72"/>
    <w:rsid w:val="00E00D7D"/>
    <w:rsid w:val="00E02677"/>
    <w:rsid w:val="00E042B2"/>
    <w:rsid w:val="00E060D5"/>
    <w:rsid w:val="00E26B86"/>
    <w:rsid w:val="00E275A4"/>
    <w:rsid w:val="00E27D92"/>
    <w:rsid w:val="00E358E5"/>
    <w:rsid w:val="00E425A6"/>
    <w:rsid w:val="00E5231B"/>
    <w:rsid w:val="00E558C9"/>
    <w:rsid w:val="00E60331"/>
    <w:rsid w:val="00E6194F"/>
    <w:rsid w:val="00E644B9"/>
    <w:rsid w:val="00E66F76"/>
    <w:rsid w:val="00E8136C"/>
    <w:rsid w:val="00E86218"/>
    <w:rsid w:val="00E92A99"/>
    <w:rsid w:val="00E95560"/>
    <w:rsid w:val="00EA3612"/>
    <w:rsid w:val="00EB2C8D"/>
    <w:rsid w:val="00EB3C51"/>
    <w:rsid w:val="00EC0180"/>
    <w:rsid w:val="00EC1003"/>
    <w:rsid w:val="00ED20D0"/>
    <w:rsid w:val="00ED2CCB"/>
    <w:rsid w:val="00ED70B9"/>
    <w:rsid w:val="00EE2682"/>
    <w:rsid w:val="00EE5E53"/>
    <w:rsid w:val="00EE6EBC"/>
    <w:rsid w:val="00EE72E7"/>
    <w:rsid w:val="00EF3D5D"/>
    <w:rsid w:val="00F05BCA"/>
    <w:rsid w:val="00F208D8"/>
    <w:rsid w:val="00F2225F"/>
    <w:rsid w:val="00F24FE6"/>
    <w:rsid w:val="00F25A0A"/>
    <w:rsid w:val="00F278E2"/>
    <w:rsid w:val="00F30BFC"/>
    <w:rsid w:val="00F3205C"/>
    <w:rsid w:val="00F32F01"/>
    <w:rsid w:val="00F34694"/>
    <w:rsid w:val="00F47798"/>
    <w:rsid w:val="00F563EA"/>
    <w:rsid w:val="00F57CB3"/>
    <w:rsid w:val="00F60C80"/>
    <w:rsid w:val="00F706A7"/>
    <w:rsid w:val="00F73F63"/>
    <w:rsid w:val="00F81CE0"/>
    <w:rsid w:val="00F925DB"/>
    <w:rsid w:val="00F93698"/>
    <w:rsid w:val="00F96B13"/>
    <w:rsid w:val="00F96B49"/>
    <w:rsid w:val="00FB195B"/>
    <w:rsid w:val="00FB49BB"/>
    <w:rsid w:val="00FC61F5"/>
    <w:rsid w:val="00FC667F"/>
    <w:rsid w:val="00FD3B1D"/>
    <w:rsid w:val="00FD45B2"/>
    <w:rsid w:val="00FD5024"/>
    <w:rsid w:val="00FD6118"/>
    <w:rsid w:val="00FD742A"/>
    <w:rsid w:val="00FF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88"/>
  </w:style>
  <w:style w:type="paragraph" w:styleId="Ttulo1">
    <w:name w:val="heading 1"/>
    <w:basedOn w:val="Normal"/>
    <w:next w:val="Normal"/>
    <w:qFormat/>
    <w:rsid w:val="00F563E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F563EA"/>
    <w:pPr>
      <w:keepNext/>
      <w:jc w:val="both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rsid w:val="000569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569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569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569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72B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072B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72B4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DF3E4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F563EA"/>
    <w:rPr>
      <w:b/>
      <w:sz w:val="28"/>
    </w:rPr>
  </w:style>
  <w:style w:type="paragraph" w:styleId="Corpodetexto3">
    <w:name w:val="Body Text 3"/>
    <w:basedOn w:val="Normal"/>
    <w:rsid w:val="00056988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056988"/>
    <w:pPr>
      <w:spacing w:after="120" w:line="480" w:lineRule="auto"/>
      <w:ind w:left="283"/>
    </w:pPr>
  </w:style>
  <w:style w:type="paragraph" w:styleId="Textoembloco">
    <w:name w:val="Block Text"/>
    <w:basedOn w:val="Normal"/>
    <w:rsid w:val="00056988"/>
    <w:pPr>
      <w:ind w:left="708" w:right="-28"/>
      <w:jc w:val="both"/>
    </w:pPr>
    <w:rPr>
      <w:rFonts w:ascii="Arial" w:hAnsi="Arial"/>
      <w:sz w:val="24"/>
    </w:rPr>
  </w:style>
  <w:style w:type="paragraph" w:customStyle="1" w:styleId="10">
    <w:name w:val="10"/>
    <w:basedOn w:val="Normal"/>
    <w:rsid w:val="00056988"/>
    <w:pPr>
      <w:ind w:left="851" w:hanging="567"/>
      <w:jc w:val="both"/>
    </w:pPr>
    <w:rPr>
      <w:sz w:val="24"/>
    </w:rPr>
  </w:style>
  <w:style w:type="character" w:styleId="Nmerodepgina">
    <w:name w:val="page number"/>
    <w:basedOn w:val="Fontepargpadro"/>
    <w:rsid w:val="0044334D"/>
  </w:style>
  <w:style w:type="paragraph" w:customStyle="1" w:styleId="WW-NormalWeb">
    <w:name w:val="WW-Normal (Web)"/>
    <w:basedOn w:val="Normal"/>
    <w:rsid w:val="00965D08"/>
    <w:pPr>
      <w:suppressAutoHyphens/>
      <w:spacing w:before="280" w:after="280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INSPEÇÃO</vt:lpstr>
    </vt:vector>
  </TitlesOfParts>
  <Company>Particular</Company>
  <LinksUpToDate>false</LinksUpToDate>
  <CharactersWithSpaces>10025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INSPEÇÃO</dc:title>
  <dc:creator>User</dc:creator>
  <cp:lastModifiedBy>Licitacao</cp:lastModifiedBy>
  <cp:revision>20</cp:revision>
  <cp:lastPrinted>2018-07-26T13:46:00Z</cp:lastPrinted>
  <dcterms:created xsi:type="dcterms:W3CDTF">2019-10-02T18:10:00Z</dcterms:created>
  <dcterms:modified xsi:type="dcterms:W3CDTF">2019-11-01T17:32:00Z</dcterms:modified>
</cp:coreProperties>
</file>